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B3081" w14:textId="0E1945C4" w:rsidR="00754326" w:rsidRPr="00754326" w:rsidRDefault="00754326" w:rsidP="0075432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bookmarkStart w:id="0" w:name="_GoBack"/>
      <w:bookmarkEnd w:id="0"/>
      <w:r w:rsidRPr="00754326">
        <w:rPr>
          <w:rFonts w:eastAsia="Times New Roman" w:cstheme="minorHAnsi"/>
          <w:b/>
          <w:bCs/>
          <w:kern w:val="0"/>
          <w14:ligatures w14:val="none"/>
        </w:rPr>
        <w:t>ТЕХНИЧЕСКОЕ ЗАДАНИЕ (ToR)</w:t>
      </w:r>
    </w:p>
    <w:p w14:paraId="42ECDA3B" w14:textId="77777777" w:rsidR="00754326" w:rsidRPr="00754326" w:rsidRDefault="00754326" w:rsidP="0075432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54326">
        <w:rPr>
          <w:rFonts w:eastAsia="Times New Roman" w:cstheme="minorHAnsi"/>
          <w:b/>
          <w:bCs/>
          <w:kern w:val="0"/>
          <w14:ligatures w14:val="none"/>
        </w:rPr>
        <w:t>Финансовый специалист</w:t>
      </w:r>
    </w:p>
    <w:p w14:paraId="137CDA22" w14:textId="77777777" w:rsidR="00754326" w:rsidRPr="00754326" w:rsidRDefault="00754326" w:rsidP="0075432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754326">
        <w:rPr>
          <w:rFonts w:eastAsia="Times New Roman" w:cstheme="minorHAnsi"/>
          <w:b/>
          <w:bCs/>
          <w:kern w:val="0"/>
          <w14:ligatures w14:val="none"/>
        </w:rPr>
        <w:t>Проект: Строительство линии электропередачи и подстанций в Тамге и Караколе, Иссык-Кульская область</w:t>
      </w:r>
    </w:p>
    <w:p w14:paraId="2CB48D28" w14:textId="77777777" w:rsidR="00754326" w:rsidRPr="00754326" w:rsidRDefault="00754326" w:rsidP="0075432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lang w:val="en-US"/>
          <w14:ligatures w14:val="none"/>
        </w:rPr>
      </w:pPr>
      <w:r w:rsidRPr="00754326">
        <w:rPr>
          <w:rFonts w:eastAsia="Times New Roman" w:cstheme="minorHAnsi"/>
          <w:b/>
          <w:bCs/>
          <w:kern w:val="0"/>
          <w14:ligatures w14:val="none"/>
        </w:rPr>
        <w:t>Исполнительное агентство: Национальная электрическая сеть Кыргызстана (NEGK)</w:t>
      </w:r>
    </w:p>
    <w:p w14:paraId="79448333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Предпосылки</w:t>
      </w:r>
    </w:p>
    <w:p w14:paraId="546A2B9F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Правительство Кыргызской Республики подало заявку на финансирование со стороны Исламского банка развития (IsDB) для реализации проекта «Строительство линии электропередачи и подстанций в Тамге и Караколе, Иссык-Кульская область». Проект включает строительство новых высоковольтных подстанций и воздушных линий электропередачи для повышения надежности, эффективности и качества электроснабжения в Иссык-Кульской области и поддержки социально-экономического развития.</w:t>
      </w:r>
    </w:p>
    <w:p w14:paraId="0818426A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NEGK является Исполнительным агентством и создаст Группу управления проектом (PMU) для управления повседневной реализацией, включая технический надзор, закупки, финансовое управление и отчетность в соответствии с требованиями IsDB и национальным законодательством. Финансовый специалист будет ключевым членом PMU и будет отвечать за все аспекты финансового планирования, освоения средств (disbursement), бухгалтерского учета и финансовой отчетности по проекту.</w:t>
      </w:r>
    </w:p>
    <w:p w14:paraId="25B89335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Цель задания</w:t>
      </w:r>
    </w:p>
    <w:p w14:paraId="34F422A9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Цель задания — обеспечить стратегическую и ежедневную поддержку PMU в части финансового управления и гарантировать, что средства проекта используются эффективно, прозрачно и в соответствии с руководящими принципами IsDB и законодательством Кыргызской Республики.</w:t>
      </w:r>
    </w:p>
    <w:p w14:paraId="14E26F09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Финансовый специалист будет:</w:t>
      </w:r>
    </w:p>
    <w:p w14:paraId="4DCA643E" w14:textId="77777777" w:rsidR="00754326" w:rsidRPr="00754326" w:rsidRDefault="00754326" w:rsidP="00754326">
      <w:pPr>
        <w:pStyle w:val="ad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Вести точные и полные финансовые записи по проекту;</w:t>
      </w:r>
    </w:p>
    <w:p w14:paraId="68746C4C" w14:textId="77777777" w:rsidR="00754326" w:rsidRPr="00754326" w:rsidRDefault="00754326" w:rsidP="00754326">
      <w:pPr>
        <w:pStyle w:val="ad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lastRenderedPageBreak/>
        <w:t>Обеспечивать своевременное освоение средств и надлежащее управление денежными средствами;</w:t>
      </w:r>
    </w:p>
    <w:p w14:paraId="556B8E47" w14:textId="77777777" w:rsidR="00754326" w:rsidRPr="00754326" w:rsidRDefault="00754326" w:rsidP="00754326">
      <w:pPr>
        <w:pStyle w:val="ad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Готовить качественную финансовую отчетность и содействовать проведению внешних аудитов;</w:t>
      </w:r>
    </w:p>
    <w:p w14:paraId="1A3E1E80" w14:textId="77777777" w:rsidR="00754326" w:rsidRPr="00754326" w:rsidRDefault="00754326" w:rsidP="00754326">
      <w:pPr>
        <w:pStyle w:val="ad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Поддерживать NEGK и IsDB в обеспечении надежного фидуциарного контроля (fiduciary assurance) по проекту.</w:t>
      </w:r>
    </w:p>
    <w:p w14:paraId="5C24CCC5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Объем работ</w:t>
      </w:r>
    </w:p>
    <w:p w14:paraId="0AD08B38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Финансовое планирование и бюджетирование</w:t>
      </w:r>
    </w:p>
    <w:p w14:paraId="7D799B29" w14:textId="77777777" w:rsidR="00754326" w:rsidRPr="00754326" w:rsidRDefault="00754326" w:rsidP="00754326">
      <w:pPr>
        <w:pStyle w:val="ad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Готовить годовые и многолетние финансовые планы и бюджеты проекта в тесной координации с руководителем PMU, специалистами по закупкам и техническими специалистами;</w:t>
      </w:r>
    </w:p>
    <w:p w14:paraId="3D428076" w14:textId="77777777" w:rsidR="00754326" w:rsidRPr="00754326" w:rsidRDefault="00754326" w:rsidP="00754326">
      <w:pPr>
        <w:pStyle w:val="ad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Мониторить исполнение бюджета проекта, включая обязательства и выплаты, и регулярно сопоставлять фактические расходы с плановыми бюджетами;</w:t>
      </w:r>
    </w:p>
    <w:p w14:paraId="3B46FF6A" w14:textId="77777777" w:rsidR="00754326" w:rsidRPr="00754326" w:rsidRDefault="00754326" w:rsidP="00754326">
      <w:pPr>
        <w:pStyle w:val="ad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Готовить прогнозы движения денежных средств и прогнозы освоения средств для представления в IsDB и соответствующие государственные органы, а также периодически обновлять эти прогнозы;</w:t>
      </w:r>
    </w:p>
    <w:p w14:paraId="2DC16977" w14:textId="77777777" w:rsidR="00754326" w:rsidRPr="00754326" w:rsidRDefault="00754326" w:rsidP="00754326">
      <w:pPr>
        <w:pStyle w:val="ad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Заблаговременно информировать руководителя PMU о потенциальных перерасходах бюджета, экономии или необходимости перераспределения средств.</w:t>
      </w:r>
    </w:p>
    <w:p w14:paraId="6FF7B98B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Бухгалтерский учет и финансовое управление</w:t>
      </w:r>
    </w:p>
    <w:p w14:paraId="0D95F5FF" w14:textId="77777777" w:rsidR="00754326" w:rsidRPr="00754326" w:rsidRDefault="00754326" w:rsidP="00754326">
      <w:pPr>
        <w:pStyle w:val="a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Вести полный, точный и актуальный бухгалтерский учет по проекту в соответствии с национальными стандартами бухгалтерского учета и требованиями IsDB;</w:t>
      </w:r>
    </w:p>
    <w:p w14:paraId="4D0AEBB6" w14:textId="77777777" w:rsidR="00754326" w:rsidRPr="00754326" w:rsidRDefault="00754326" w:rsidP="00754326">
      <w:pPr>
        <w:pStyle w:val="a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Отражать все финансовые операции (платежи, поступления, заработная плата, авансы, взаиморасчеты) в выбранной учетной системе (например, 1C или другое утвержденное программное обеспечение), с подтверждением соответствующей документацией;</w:t>
      </w:r>
    </w:p>
    <w:p w14:paraId="3701882C" w14:textId="77777777" w:rsidR="00754326" w:rsidRPr="00754326" w:rsidRDefault="00754326" w:rsidP="00754326">
      <w:pPr>
        <w:pStyle w:val="a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Обеспечивать корректную классификацию расходов по компонентам, категориям и источникам финансирования;</w:t>
      </w:r>
    </w:p>
    <w:p w14:paraId="50D1DEC5" w14:textId="77777777" w:rsidR="00754326" w:rsidRPr="00754326" w:rsidRDefault="00754326" w:rsidP="00754326">
      <w:pPr>
        <w:pStyle w:val="a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Вести актуальный реестр активов проекта (основные средства и оборудование), обеспечивая надлежащую маркировку, физическую проверку и документирование;</w:t>
      </w:r>
    </w:p>
    <w:p w14:paraId="1E5BFCCB" w14:textId="77777777" w:rsidR="00754326" w:rsidRPr="00754326" w:rsidRDefault="00754326" w:rsidP="00754326">
      <w:pPr>
        <w:pStyle w:val="ad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lastRenderedPageBreak/>
        <w:t>Внедрять процедуры внутреннего контроля по авторизации, проверке и документированию всех финансовых операций.</w:t>
      </w:r>
    </w:p>
    <w:p w14:paraId="49FDA753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Управление выплатами и банковскими счетами</w:t>
      </w:r>
    </w:p>
    <w:p w14:paraId="2309021B" w14:textId="77777777" w:rsidR="00754326" w:rsidRPr="00754326" w:rsidRDefault="00754326" w:rsidP="00754326">
      <w:pPr>
        <w:pStyle w:val="a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Управлять банковскими счетами проекта, открытыми для проекта (включая Специальный(е) счет(а) (Designated Account(s)) и любые местные счета проекта), обеспечивая достаточные остатки для бесперебойной реализации;</w:t>
      </w:r>
    </w:p>
    <w:p w14:paraId="2BA28F51" w14:textId="77777777" w:rsidR="00754326" w:rsidRPr="00754326" w:rsidRDefault="00754326" w:rsidP="00754326">
      <w:pPr>
        <w:pStyle w:val="a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Готовить заявки на снятие средств (withdrawal applications, WA) и соответствующие подтверждающие документы в соответствии с процедурами IsDB и представлять их на рассмотрение и утверждение в согласованные сроки;</w:t>
      </w:r>
    </w:p>
    <w:p w14:paraId="1660D12C" w14:textId="77777777" w:rsidR="00754326" w:rsidRPr="00754326" w:rsidRDefault="00754326" w:rsidP="00754326">
      <w:pPr>
        <w:pStyle w:val="a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Отслеживать освоение средств от IsDB и других источников, сверять эти данные с учетными данными NEGK и PMU и обеспечивать согласованность с учетной системой;</w:t>
      </w:r>
    </w:p>
    <w:p w14:paraId="1B45480C" w14:textId="77777777" w:rsidR="00754326" w:rsidRPr="00754326" w:rsidRDefault="00754326" w:rsidP="00754326">
      <w:pPr>
        <w:pStyle w:val="ad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Ежемесячно проводить банковские сверки по всем банковским счетам проекта и остаткам денежных средств, выявляя и устраняя любые расхождения.</w:t>
      </w:r>
    </w:p>
    <w:p w14:paraId="4BE9BDA4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Финансовая отчетность и аудит</w:t>
      </w:r>
    </w:p>
    <w:p w14:paraId="611D08C7" w14:textId="77777777" w:rsidR="00754326" w:rsidRPr="00754326" w:rsidRDefault="00754326" w:rsidP="00754326">
      <w:pPr>
        <w:pStyle w:val="ad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Готовить Промежуточные неаудированные финансовые отчеты (Interim Unaudited Financial Reports, IFRs) и другие периодические финансовые отчеты, требуемые IsDB, NEGK и Министерством финансов, обеспечивая точность, своевременность и полноту;</w:t>
      </w:r>
    </w:p>
    <w:p w14:paraId="31E6B015" w14:textId="77777777" w:rsidR="00754326" w:rsidRPr="00754326" w:rsidRDefault="00754326" w:rsidP="00754326">
      <w:pPr>
        <w:pStyle w:val="ad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Готовить годовую финансовую отчетность по проекту в соответствии с применимыми стандартами и требованиями доноров;</w:t>
      </w:r>
    </w:p>
    <w:p w14:paraId="79FDDDC8" w14:textId="77777777" w:rsidR="00754326" w:rsidRPr="00754326" w:rsidRDefault="00754326" w:rsidP="00754326">
      <w:pPr>
        <w:pStyle w:val="ad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Координировать работу внешних аудиторов, назначенных для проекта, включая предоставление всех запрашиваемых документов и разъяснений;</w:t>
      </w:r>
    </w:p>
    <w:p w14:paraId="1B323ECA" w14:textId="77777777" w:rsidR="00754326" w:rsidRPr="00754326" w:rsidRDefault="00754326" w:rsidP="00754326">
      <w:pPr>
        <w:pStyle w:val="ad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Вести журнал аудиторских замечаний и рекомендаций и, в координации с руководителем PMU и финансовыми подразделениями NEGK, контролировать выполнение корректирующих мер.</w:t>
      </w:r>
    </w:p>
    <w:p w14:paraId="719F8BE5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Соблюдение требований и поддержка заинтересованных сторон</w:t>
      </w:r>
    </w:p>
    <w:p w14:paraId="10C6B918" w14:textId="77777777" w:rsidR="00754326" w:rsidRPr="00754326" w:rsidRDefault="00754326" w:rsidP="00754326">
      <w:pPr>
        <w:pStyle w:val="a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 xml:space="preserve">Обеспечивать выполнение всех финансовых операций по проекту в соответствии с руководящими принципами IsDB, Финансовым(и) соглашением(ями) (Financing </w:t>
      </w:r>
      <w:r w:rsidRPr="00754326">
        <w:rPr>
          <w:rFonts w:asciiTheme="minorHAnsi" w:hAnsiTheme="minorHAnsi" w:cstheme="minorHAnsi"/>
        </w:rPr>
        <w:lastRenderedPageBreak/>
        <w:t>Agreement(s)), Руководством по администрированию проекта (Project Administration Manual), если применимо, и законами и нормативными актами Кыргызской Республики (включая налоговые, трудовые и правила управления государственными финансами);</w:t>
      </w:r>
    </w:p>
    <w:p w14:paraId="32B78C96" w14:textId="77777777" w:rsidR="00754326" w:rsidRPr="00754326" w:rsidRDefault="00754326" w:rsidP="00754326">
      <w:pPr>
        <w:pStyle w:val="a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Взаимодействовать с центральным финансовым департаментом NEGK, Министерством финансов и фидуциарными специалистами IsDB по всем финансовым вопросам проекта;</w:t>
      </w:r>
    </w:p>
    <w:p w14:paraId="4699192E" w14:textId="77777777" w:rsidR="00754326" w:rsidRPr="00754326" w:rsidRDefault="00754326" w:rsidP="00754326">
      <w:pPr>
        <w:pStyle w:val="a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Предоставлять финансовые входные данные для планирования закупок, управления контрактами и графиков платежей в сотрудничестве со специалистом по закупкам и техническим персоналом;</w:t>
      </w:r>
    </w:p>
    <w:p w14:paraId="7A67C682" w14:textId="77777777" w:rsidR="00754326" w:rsidRPr="00754326" w:rsidRDefault="00754326" w:rsidP="00754326">
      <w:pPr>
        <w:pStyle w:val="a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Поддерживать развитие потенциала младшего финансового персонала или бухгалтеров, закрепленных за PMU, включая обучение на рабочем месте по финансовому управлению проектами, финансируемыми донорами;</w:t>
      </w:r>
    </w:p>
    <w:p w14:paraId="7A377065" w14:textId="77777777" w:rsidR="00754326" w:rsidRPr="00754326" w:rsidRDefault="00754326" w:rsidP="00754326">
      <w:pPr>
        <w:pStyle w:val="ad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Вносить вклад в финансовые разделы отчетов о ходе реализации проекта и любые другие отчеты, запрашиваемые руководством NEGK и IsDB.</w:t>
      </w:r>
    </w:p>
    <w:p w14:paraId="3BDFC69B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Ожидаемые результаты (Deliverables)</w:t>
      </w:r>
    </w:p>
    <w:p w14:paraId="12D30227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Финансовый специалист будет отвечать за следующие ключевые результаты:</w:t>
      </w:r>
    </w:p>
    <w:p w14:paraId="44063D7A" w14:textId="77777777" w:rsidR="00754326" w:rsidRPr="00754326" w:rsidRDefault="00754326" w:rsidP="00754326">
      <w:pPr>
        <w:pStyle w:val="a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Годовые финансовые планы, детализацию бюджета и прогнозы движения денежных средств по проекту;</w:t>
      </w:r>
    </w:p>
    <w:p w14:paraId="3E714AB6" w14:textId="77777777" w:rsidR="00754326" w:rsidRPr="00754326" w:rsidRDefault="00754326" w:rsidP="00754326">
      <w:pPr>
        <w:pStyle w:val="a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Квартальные IFR, представляемые в IsDB и NEGK, подготовленные в форматах, согласованных с донором;</w:t>
      </w:r>
    </w:p>
    <w:p w14:paraId="1B4BF658" w14:textId="77777777" w:rsidR="00754326" w:rsidRPr="00754326" w:rsidRDefault="00754326" w:rsidP="00754326">
      <w:pPr>
        <w:pStyle w:val="a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Ежемесячные отчеты о банковских сверках и актуальные регистры учета по всем счетам проекта;</w:t>
      </w:r>
    </w:p>
    <w:p w14:paraId="4C3659B9" w14:textId="77777777" w:rsidR="00754326" w:rsidRPr="00754326" w:rsidRDefault="00754326" w:rsidP="00754326">
      <w:pPr>
        <w:pStyle w:val="a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Полные и пригодные для аудита комплекты финансовой документации (платежные документы/ордера, контракты, счета-фактуры, ведомости по заработной плате, реестр активов и т.д.);</w:t>
      </w:r>
    </w:p>
    <w:p w14:paraId="5C1CDA2F" w14:textId="77777777" w:rsidR="00754326" w:rsidRPr="00754326" w:rsidRDefault="00754326" w:rsidP="00754326">
      <w:pPr>
        <w:pStyle w:val="a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Годовую финансовую отчетность и согласованные ответы на аудиторские замечания и рекомендации;</w:t>
      </w:r>
    </w:p>
    <w:p w14:paraId="59EB1DF5" w14:textId="77777777" w:rsidR="00754326" w:rsidRPr="00754326" w:rsidRDefault="00754326" w:rsidP="00754326">
      <w:pPr>
        <w:pStyle w:val="ad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Финансовые входные данные для отчетов о ходе реализации проекта и любые разовые финансовые анализы по запросу NEGK или IsDB.</w:t>
      </w:r>
    </w:p>
    <w:p w14:paraId="2BE91486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lastRenderedPageBreak/>
        <w:t>Квалификация и опыт</w:t>
      </w:r>
    </w:p>
    <w:p w14:paraId="27C52E53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Образование</w:t>
      </w:r>
    </w:p>
    <w:p w14:paraId="528EF13B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Высшее образование в области финансов, бухгалтерского учета, экономики, делового администрирования или смежной области; наличие профессиональной квалификации или послевузовского сертификата (например, CPA, ACCA или эквивалент) является преимуществом.</w:t>
      </w:r>
    </w:p>
    <w:p w14:paraId="50C93E6C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Профессиональный опыт</w:t>
      </w:r>
    </w:p>
    <w:p w14:paraId="536C94D8" w14:textId="77777777" w:rsidR="00754326" w:rsidRPr="00754326" w:rsidRDefault="00754326" w:rsidP="00754326">
      <w:pPr>
        <w:pStyle w:val="ad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Не менее 7 лет релевантного опыта в финансовом управлении, бухгалтерском учете или аудите;</w:t>
      </w:r>
    </w:p>
    <w:p w14:paraId="0796F39F" w14:textId="77777777" w:rsidR="00754326" w:rsidRPr="00754326" w:rsidRDefault="00754326" w:rsidP="00754326">
      <w:pPr>
        <w:pStyle w:val="ad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Желательно несколько лет опыта управления финансами проектов, финансируемых многосторонними банками развития или двусторонними донорами (IsDB, Всемирный банк, ADB, EBRD и т.д.);</w:t>
      </w:r>
    </w:p>
    <w:p w14:paraId="450CC35F" w14:textId="77777777" w:rsidR="00754326" w:rsidRPr="00754326" w:rsidRDefault="00754326" w:rsidP="00754326">
      <w:pPr>
        <w:pStyle w:val="ad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Подтвержденный опыт подготовки IFR, заявок на снятие средств/запросов на освоение средств (withdrawal applications/disbursement requests) и координации внешних аудитов для проектов развития;</w:t>
      </w:r>
    </w:p>
    <w:p w14:paraId="15AFFE96" w14:textId="77777777" w:rsidR="00754326" w:rsidRPr="00754326" w:rsidRDefault="00754326" w:rsidP="00754326">
      <w:pPr>
        <w:pStyle w:val="ad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Хорошее понимание кыргызских правил бухгалтерского учета, налогообложения и финансовой отчетности, особенно применимых к государственным предприятиям или публичным организациям;</w:t>
      </w:r>
    </w:p>
    <w:p w14:paraId="1BC689A0" w14:textId="77777777" w:rsidR="00754326" w:rsidRPr="00754326" w:rsidRDefault="00754326" w:rsidP="00754326">
      <w:pPr>
        <w:pStyle w:val="ad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Опыт финансового управления инфраструктурными или энергетическими инвестиционными проектами является преимуществом.</w:t>
      </w:r>
    </w:p>
    <w:p w14:paraId="2A9A7D64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Языковые требования</w:t>
      </w:r>
    </w:p>
    <w:p w14:paraId="03C93D00" w14:textId="77777777" w:rsidR="00754326" w:rsidRPr="00754326" w:rsidRDefault="00754326" w:rsidP="00754326">
      <w:pPr>
        <w:pStyle w:val="ad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Свободное владение русским языком (устно и письменно) обязательно;</w:t>
      </w:r>
    </w:p>
    <w:p w14:paraId="5A35CA0B" w14:textId="77777777" w:rsidR="00754326" w:rsidRPr="00754326" w:rsidRDefault="00754326" w:rsidP="00754326">
      <w:pPr>
        <w:pStyle w:val="ad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Рабочее знание кыргызского языка крайне желательно;</w:t>
      </w:r>
    </w:p>
    <w:p w14:paraId="5C94E5CE" w14:textId="77777777" w:rsidR="00754326" w:rsidRPr="00754326" w:rsidRDefault="00754326" w:rsidP="00754326">
      <w:pPr>
        <w:pStyle w:val="ad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Рабочее знание английского языка (умение пользоваться донорскими финансовыми шаблонами и взаимодействовать с IsDB по финансовым вопросам) является преимуществом.</w:t>
      </w:r>
    </w:p>
    <w:p w14:paraId="5740F98F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Срок и место работы</w:t>
      </w:r>
    </w:p>
    <w:p w14:paraId="72B2C81A" w14:textId="77777777" w:rsidR="00754326" w:rsidRPr="00754326" w:rsidRDefault="00754326" w:rsidP="00754326">
      <w:pPr>
        <w:pStyle w:val="ad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lastRenderedPageBreak/>
        <w:t>Тип контракта: Индивидуальный консультант (национальный), полный рабочий день;</w:t>
      </w:r>
    </w:p>
    <w:p w14:paraId="4FB36F87" w14:textId="77777777" w:rsidR="00754326" w:rsidRPr="00754326" w:rsidRDefault="00754326" w:rsidP="00754326">
      <w:pPr>
        <w:pStyle w:val="ad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Первоначальная продолжительность: 12 месяцев, с возможностью продления в зависимости от результатов работы, потребностей реализации проекта и наличия финансирования;</w:t>
      </w:r>
    </w:p>
    <w:p w14:paraId="31CA5F0B" w14:textId="77777777" w:rsidR="00754326" w:rsidRPr="00754326" w:rsidRDefault="00754326" w:rsidP="00754326">
      <w:pPr>
        <w:pStyle w:val="ad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Место работы: офис PMU в головном офисе NEGK в Бишкеке, Кыргызская Республика, с возможными командировками на проектные площадки в регионы при необходимости;</w:t>
      </w:r>
    </w:p>
    <w:p w14:paraId="3BACEA09" w14:textId="77777777" w:rsidR="00754326" w:rsidRPr="00754326" w:rsidRDefault="00754326" w:rsidP="00754326">
      <w:pPr>
        <w:pStyle w:val="ad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Подотчетность: Финансовый специалист будет подчиняться непосредственно руководителю PMU и будет работать в тесной координации с финансовыми подразделениями NEGK, внешними аудиторами и специалистами IsDB по финансовому управлению.</w:t>
      </w:r>
    </w:p>
    <w:p w14:paraId="739B2838" w14:textId="77777777" w:rsidR="00754326" w:rsidRPr="00754326" w:rsidRDefault="00754326" w:rsidP="00754326">
      <w:pPr>
        <w:pStyle w:val="ad"/>
        <w:jc w:val="both"/>
        <w:rPr>
          <w:rFonts w:asciiTheme="minorHAnsi" w:hAnsiTheme="minorHAnsi" w:cstheme="minorHAnsi"/>
        </w:rPr>
      </w:pPr>
      <w:r w:rsidRPr="00754326">
        <w:rPr>
          <w:rStyle w:val="ac"/>
          <w:rFonts w:asciiTheme="minorHAnsi" w:eastAsiaTheme="majorEastAsia" w:hAnsiTheme="minorHAnsi" w:cstheme="minorHAnsi"/>
        </w:rPr>
        <w:t>Метод отбора и соответствие требованиям (местный набор)</w:t>
      </w:r>
    </w:p>
    <w:p w14:paraId="2262DB17" w14:textId="77777777" w:rsidR="00754326" w:rsidRPr="00754326" w:rsidRDefault="00754326" w:rsidP="00754326">
      <w:pPr>
        <w:pStyle w:val="ad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Набор будет проводиться на национальной/местной основе и открыт только для кандидатов, являющихся гражданами Кыргызской Республики или имеющих законное постоянное проживание в Кыргызской Республике;</w:t>
      </w:r>
    </w:p>
    <w:p w14:paraId="457BC6AA" w14:textId="77777777" w:rsidR="00754326" w:rsidRPr="00754326" w:rsidRDefault="00754326" w:rsidP="00754326">
      <w:pPr>
        <w:pStyle w:val="ad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NEGK сформирует шорт-лист квалифицированных местных кандидатов, проведет оценку резюме (CV) и может организовать интервью и/или технические тесты;</w:t>
      </w:r>
    </w:p>
    <w:p w14:paraId="38814246" w14:textId="77777777" w:rsidR="00754326" w:rsidRPr="00754326" w:rsidRDefault="00754326" w:rsidP="00754326">
      <w:pPr>
        <w:pStyle w:val="ad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754326">
        <w:rPr>
          <w:rFonts w:asciiTheme="minorHAnsi" w:hAnsiTheme="minorHAnsi" w:cstheme="minorHAnsi"/>
        </w:rPr>
        <w:t>NEGK оставляет за собой право проверять рекомендации и результаты предыдущей работы, а также отклонить любую или все заявки без обязательства заключения контракта.</w:t>
      </w:r>
    </w:p>
    <w:p w14:paraId="04EABE8D" w14:textId="77777777" w:rsidR="00FF17C5" w:rsidRPr="00821EA2" w:rsidRDefault="00FF17C5" w:rsidP="00754326">
      <w:pPr>
        <w:spacing w:before="100" w:beforeAutospacing="1" w:after="100" w:afterAutospacing="1" w:line="240" w:lineRule="auto"/>
        <w:jc w:val="both"/>
        <w:outlineLvl w:val="2"/>
      </w:pPr>
    </w:p>
    <w:sectPr w:rsidR="00FF17C5" w:rsidRPr="00821E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C6D"/>
    <w:multiLevelType w:val="multilevel"/>
    <w:tmpl w:val="64A2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946A8"/>
    <w:multiLevelType w:val="multilevel"/>
    <w:tmpl w:val="CA0E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92E91"/>
    <w:multiLevelType w:val="multilevel"/>
    <w:tmpl w:val="44B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A2469"/>
    <w:multiLevelType w:val="multilevel"/>
    <w:tmpl w:val="092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60DE9"/>
    <w:multiLevelType w:val="multilevel"/>
    <w:tmpl w:val="C4D2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A3766"/>
    <w:multiLevelType w:val="multilevel"/>
    <w:tmpl w:val="F2F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31B63"/>
    <w:multiLevelType w:val="multilevel"/>
    <w:tmpl w:val="C98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842C5"/>
    <w:multiLevelType w:val="multilevel"/>
    <w:tmpl w:val="611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D363B"/>
    <w:multiLevelType w:val="multilevel"/>
    <w:tmpl w:val="56E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C3535"/>
    <w:multiLevelType w:val="multilevel"/>
    <w:tmpl w:val="C1A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23852"/>
    <w:multiLevelType w:val="multilevel"/>
    <w:tmpl w:val="A3B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15AED"/>
    <w:multiLevelType w:val="multilevel"/>
    <w:tmpl w:val="DE94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E02029"/>
    <w:multiLevelType w:val="hybridMultilevel"/>
    <w:tmpl w:val="EF9C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26E99"/>
    <w:multiLevelType w:val="multilevel"/>
    <w:tmpl w:val="726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B1D5A"/>
    <w:multiLevelType w:val="multilevel"/>
    <w:tmpl w:val="9DE2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33985"/>
    <w:multiLevelType w:val="multilevel"/>
    <w:tmpl w:val="E8A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32844"/>
    <w:multiLevelType w:val="multilevel"/>
    <w:tmpl w:val="C6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10197"/>
    <w:multiLevelType w:val="multilevel"/>
    <w:tmpl w:val="6E40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CA4BFD"/>
    <w:multiLevelType w:val="multilevel"/>
    <w:tmpl w:val="FEC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F1EF8"/>
    <w:multiLevelType w:val="multilevel"/>
    <w:tmpl w:val="84A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20B71"/>
    <w:multiLevelType w:val="multilevel"/>
    <w:tmpl w:val="481E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6731F4"/>
    <w:multiLevelType w:val="multilevel"/>
    <w:tmpl w:val="59A2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07C5C"/>
    <w:multiLevelType w:val="multilevel"/>
    <w:tmpl w:val="554A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E308E"/>
    <w:multiLevelType w:val="multilevel"/>
    <w:tmpl w:val="D46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112E6D"/>
    <w:multiLevelType w:val="multilevel"/>
    <w:tmpl w:val="936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315565"/>
    <w:multiLevelType w:val="multilevel"/>
    <w:tmpl w:val="9BF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757B0B"/>
    <w:multiLevelType w:val="multilevel"/>
    <w:tmpl w:val="3DCE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9949EC"/>
    <w:multiLevelType w:val="multilevel"/>
    <w:tmpl w:val="6CF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A854F9"/>
    <w:multiLevelType w:val="multilevel"/>
    <w:tmpl w:val="21E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E17108"/>
    <w:multiLevelType w:val="multilevel"/>
    <w:tmpl w:val="315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7C33C1"/>
    <w:multiLevelType w:val="multilevel"/>
    <w:tmpl w:val="707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72597A"/>
    <w:multiLevelType w:val="multilevel"/>
    <w:tmpl w:val="A9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5F6186"/>
    <w:multiLevelType w:val="multilevel"/>
    <w:tmpl w:val="3014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A71E12"/>
    <w:multiLevelType w:val="multilevel"/>
    <w:tmpl w:val="BD88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566FA8"/>
    <w:multiLevelType w:val="multilevel"/>
    <w:tmpl w:val="A7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ED149B"/>
    <w:multiLevelType w:val="multilevel"/>
    <w:tmpl w:val="8450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5C6391"/>
    <w:multiLevelType w:val="multilevel"/>
    <w:tmpl w:val="1E8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856C9D"/>
    <w:multiLevelType w:val="multilevel"/>
    <w:tmpl w:val="0FD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AD6BEE"/>
    <w:multiLevelType w:val="multilevel"/>
    <w:tmpl w:val="D2D6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C33419"/>
    <w:multiLevelType w:val="multilevel"/>
    <w:tmpl w:val="E52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2"/>
  </w:num>
  <w:num w:numId="3">
    <w:abstractNumId w:val="33"/>
  </w:num>
  <w:num w:numId="4">
    <w:abstractNumId w:val="1"/>
  </w:num>
  <w:num w:numId="5">
    <w:abstractNumId w:val="22"/>
  </w:num>
  <w:num w:numId="6">
    <w:abstractNumId w:val="41"/>
  </w:num>
  <w:num w:numId="7">
    <w:abstractNumId w:val="38"/>
  </w:num>
  <w:num w:numId="8">
    <w:abstractNumId w:val="31"/>
  </w:num>
  <w:num w:numId="9">
    <w:abstractNumId w:val="11"/>
  </w:num>
  <w:num w:numId="10">
    <w:abstractNumId w:val="15"/>
  </w:num>
  <w:num w:numId="11">
    <w:abstractNumId w:val="29"/>
  </w:num>
  <w:num w:numId="12">
    <w:abstractNumId w:val="46"/>
  </w:num>
  <w:num w:numId="13">
    <w:abstractNumId w:val="35"/>
  </w:num>
  <w:num w:numId="14">
    <w:abstractNumId w:val="12"/>
  </w:num>
  <w:num w:numId="15">
    <w:abstractNumId w:val="4"/>
  </w:num>
  <w:num w:numId="16">
    <w:abstractNumId w:val="30"/>
  </w:num>
  <w:num w:numId="17">
    <w:abstractNumId w:val="39"/>
  </w:num>
  <w:num w:numId="18">
    <w:abstractNumId w:val="17"/>
  </w:num>
  <w:num w:numId="19">
    <w:abstractNumId w:val="20"/>
  </w:num>
  <w:num w:numId="20">
    <w:abstractNumId w:val="32"/>
  </w:num>
  <w:num w:numId="21">
    <w:abstractNumId w:val="19"/>
  </w:num>
  <w:num w:numId="22">
    <w:abstractNumId w:val="24"/>
  </w:num>
  <w:num w:numId="23">
    <w:abstractNumId w:val="27"/>
  </w:num>
  <w:num w:numId="24">
    <w:abstractNumId w:val="5"/>
  </w:num>
  <w:num w:numId="25">
    <w:abstractNumId w:val="34"/>
  </w:num>
  <w:num w:numId="26">
    <w:abstractNumId w:val="28"/>
  </w:num>
  <w:num w:numId="27">
    <w:abstractNumId w:val="9"/>
  </w:num>
  <w:num w:numId="28">
    <w:abstractNumId w:val="10"/>
  </w:num>
  <w:num w:numId="29">
    <w:abstractNumId w:val="7"/>
  </w:num>
  <w:num w:numId="30">
    <w:abstractNumId w:val="45"/>
  </w:num>
  <w:num w:numId="31">
    <w:abstractNumId w:val="16"/>
  </w:num>
  <w:num w:numId="32">
    <w:abstractNumId w:val="6"/>
  </w:num>
  <w:num w:numId="33">
    <w:abstractNumId w:val="44"/>
  </w:num>
  <w:num w:numId="34">
    <w:abstractNumId w:val="43"/>
  </w:num>
  <w:num w:numId="35">
    <w:abstractNumId w:val="25"/>
  </w:num>
  <w:num w:numId="36">
    <w:abstractNumId w:val="14"/>
  </w:num>
  <w:num w:numId="37">
    <w:abstractNumId w:val="3"/>
  </w:num>
  <w:num w:numId="38">
    <w:abstractNumId w:val="40"/>
  </w:num>
  <w:num w:numId="39">
    <w:abstractNumId w:val="37"/>
  </w:num>
  <w:num w:numId="40">
    <w:abstractNumId w:val="18"/>
  </w:num>
  <w:num w:numId="41">
    <w:abstractNumId w:val="2"/>
  </w:num>
  <w:num w:numId="42">
    <w:abstractNumId w:val="36"/>
  </w:num>
  <w:num w:numId="43">
    <w:abstractNumId w:val="8"/>
  </w:num>
  <w:num w:numId="44">
    <w:abstractNumId w:val="21"/>
  </w:num>
  <w:num w:numId="45">
    <w:abstractNumId w:val="23"/>
  </w:num>
  <w:num w:numId="46">
    <w:abstractNumId w:val="26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F"/>
    <w:rsid w:val="0000771A"/>
    <w:rsid w:val="00172DC0"/>
    <w:rsid w:val="002C59A4"/>
    <w:rsid w:val="003A1537"/>
    <w:rsid w:val="004A2113"/>
    <w:rsid w:val="005C206F"/>
    <w:rsid w:val="00696789"/>
    <w:rsid w:val="00754326"/>
    <w:rsid w:val="0080408D"/>
    <w:rsid w:val="00821EA2"/>
    <w:rsid w:val="008E7B50"/>
    <w:rsid w:val="008F1550"/>
    <w:rsid w:val="009429F7"/>
    <w:rsid w:val="00952EA7"/>
    <w:rsid w:val="00A5097D"/>
    <w:rsid w:val="00B0353A"/>
    <w:rsid w:val="00B265EF"/>
    <w:rsid w:val="00B835CF"/>
    <w:rsid w:val="00C21B42"/>
    <w:rsid w:val="00C55404"/>
    <w:rsid w:val="00D73028"/>
    <w:rsid w:val="00DA5A33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B53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835CF"/>
    <w:rPr>
      <w:b/>
      <w:bCs/>
    </w:rPr>
  </w:style>
  <w:style w:type="paragraph" w:styleId="ad">
    <w:name w:val="Normal (Web)"/>
    <w:basedOn w:val="a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Emphasis"/>
    <w:basedOn w:val="a0"/>
    <w:uiPriority w:val="20"/>
    <w:qFormat/>
    <w:rsid w:val="00696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dcterms:created xsi:type="dcterms:W3CDTF">2026-01-16T09:00:00Z</dcterms:created>
  <dcterms:modified xsi:type="dcterms:W3CDTF">2026-01-16T09:00:00Z</dcterms:modified>
</cp:coreProperties>
</file>